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SBOM review checklist: what to check before you trust one</w:t>
      </w:r>
    </w:p>
    <w:p>
      <w:pPr>
        <w:pStyle w:val="Quote"/>
      </w:pPr>
      <w:r>
        <w:t xml:space="preserve">Use this checklist for an SBOM you produce for a release, or one a supplier gives you. Replace [brackets] and delete this note.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Software and version:</w:t>
      </w:r>
      <w:r>
        <w:t xml:space="preserve"> [name, version or commit]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SBOM file and format:</w:t>
      </w:r>
      <w:r>
        <w:t xml:space="preserve"> [file name, CycloneDX or SPDX, spec version]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Reviewed by:</w:t>
      </w:r>
      <w:r>
        <w:t xml:space="preserve"> [name]</w:t>
      </w:r>
    </w:p>
    <w:p>
      <w:pPr>
        <w:pStyle w:val="ListParagraph"/>
        <w:numPr>
          <w:ilvl w:val="0"/>
          <w:numId w:val="1"/>
        </w:numPr>
      </w:pPr>
      <w:r>
        <w:rPr>
          <w:b/>
        </w:rPr>
        <w:t xml:space="preserve">Date:</w:t>
      </w:r>
      <w:r>
        <w:t xml:space="preserve"> [YYYY-MM-DD]</w:t>
      </w:r>
    </w:p>
    <w:p>
      <w:pPr>
        <w:pStyle w:val="Heading1"/>
      </w:pPr>
      <w:r>
        <w:t xml:space="preserve">1. The file itself</w:t>
      </w:r>
    </w:p>
    <w:p>
      <w:pPr>
        <w:pStyle w:val="ListParagraph"/>
        <w:numPr>
          <w:ilvl w:val="0"/>
          <w:numId w:val="1"/>
        </w:numPr>
      </w:pPr>
      <w:r>
        <w:t xml:space="preserve">☐ It is machine-readable: CycloneDX, SPDX or SWID tags, not a spreadsheet or a PDF.</w:t>
      </w:r>
    </w:p>
    <w:p>
      <w:pPr>
        <w:pStyle w:val="ListParagraph"/>
        <w:numPr>
          <w:ilvl w:val="0"/>
          <w:numId w:val="1"/>
        </w:numPr>
      </w:pPr>
      <w:r>
        <w:t xml:space="preserve">☐ It validates against its format's schema.</w:t>
      </w:r>
    </w:p>
    <w:p>
      <w:pPr>
        <w:pStyle w:val="ListParagraph"/>
        <w:numPr>
          <w:ilvl w:val="0"/>
          <w:numId w:val="1"/>
        </w:numPr>
      </w:pPr>
      <w:r>
        <w:t xml:space="preserve">☐ It names the exact software version or commit it describes, and that matches what you ship or receive.</w:t>
      </w:r>
    </w:p>
    <w:p>
      <w:pPr>
        <w:pStyle w:val="ListParagraph"/>
        <w:numPr>
          <w:ilvl w:val="0"/>
          <w:numId w:val="1"/>
        </w:numPr>
      </w:pPr>
      <w:r>
        <w:t xml:space="preserve">☐ It has a timestamp, and it was made for this build. A new build or release needs a new SBOM.</w:t>
      </w:r>
    </w:p>
    <w:p>
      <w:pPr>
        <w:pStyle w:val="ListParagraph"/>
        <w:numPr>
          <w:ilvl w:val="0"/>
          <w:numId w:val="1"/>
        </w:numPr>
      </w:pPr>
      <w:r>
        <w:t xml:space="preserve">☐ It names its author: the tool or organisation that produced the data.</w:t>
      </w:r>
    </w:p>
    <w:p>
      <w:pPr>
        <w:pStyle w:val="Heading1"/>
      </w:pPr>
      <w:r>
        <w:t xml:space="preserve">2. The minimum fields, for every component</w:t>
      </w:r>
    </w:p>
    <w:p>
      <w:r>
        <w:t xml:space="preserve">The NTIA minimum elements (2021) list these data fields. Check a sample of components, then check that none are missing them entirely.</w:t>
      </w:r>
    </w:p>
    <w:p>
      <w:pPr>
        <w:pStyle w:val="ListParagraph"/>
        <w:numPr>
          <w:ilvl w:val="0"/>
          <w:numId w:val="1"/>
        </w:numPr>
      </w:pPr>
      <w:r>
        <w:t xml:space="preserve">☐ Supplier name.</w:t>
      </w:r>
    </w:p>
    <w:p>
      <w:pPr>
        <w:pStyle w:val="ListParagraph"/>
        <w:numPr>
          <w:ilvl w:val="0"/>
          <w:numId w:val="1"/>
        </w:numPr>
      </w:pPr>
      <w:r>
        <w:t xml:space="preserve">☐ Component name.</w:t>
      </w:r>
    </w:p>
    <w:p>
      <w:pPr>
        <w:pStyle w:val="ListParagraph"/>
        <w:numPr>
          <w:ilvl w:val="0"/>
          <w:numId w:val="1"/>
        </w:numPr>
      </w:pPr>
      <w:r>
        <w:t xml:space="preserve">☐ Version of the component.</w:t>
      </w:r>
    </w:p>
    <w:p>
      <w:pPr>
        <w:pStyle w:val="ListParagraph"/>
        <w:numPr>
          <w:ilvl w:val="0"/>
          <w:numId w:val="1"/>
        </w:numPr>
      </w:pPr>
      <w:r>
        <w:t xml:space="preserve">☐ Other unique identifiers, such as a package URL (purl) or CPE.</w:t>
      </w:r>
    </w:p>
    <w:p>
      <w:pPr>
        <w:pStyle w:val="ListParagraph"/>
        <w:numPr>
          <w:ilvl w:val="0"/>
          <w:numId w:val="1"/>
        </w:numPr>
      </w:pPr>
      <w:r>
        <w:t xml:space="preserve">☐ Dependency relationship: which component includes which.</w:t>
      </w:r>
    </w:p>
    <w:p>
      <w:pPr>
        <w:pStyle w:val="Heading1"/>
      </w:pPr>
      <w:r>
        <w:t xml:space="preserve">3. Depth and gaps</w:t>
      </w:r>
    </w:p>
    <w:p>
      <w:pPr>
        <w:pStyle w:val="ListParagraph"/>
        <w:numPr>
          <w:ilvl w:val="0"/>
          <w:numId w:val="1"/>
        </w:numPr>
      </w:pPr>
      <w:r>
        <w:t xml:space="preserve">☐ Every top-level component is listed, with its transitive dependencies.</w:t>
      </w:r>
    </w:p>
    <w:p>
      <w:pPr>
        <w:pStyle w:val="ListParagraph"/>
        <w:numPr>
          <w:ilvl w:val="0"/>
          <w:numId w:val="1"/>
        </w:numPr>
      </w:pPr>
      <w:r>
        <w:t xml:space="preserve">☐ Where the dependency tree is incomplete, the SBOM says so. The NTIA calls these known unknowns: a gap that is stated is better than one that looks like nothing.</w:t>
      </w:r>
    </w:p>
    <w:p>
      <w:pPr>
        <w:pStyle w:val="ListParagraph"/>
        <w:numPr>
          <w:ilvl w:val="0"/>
          <w:numId w:val="1"/>
        </w:numPr>
      </w:pPr>
      <w:r>
        <w:t xml:space="preserve">☐ Bundled, vendored or copied code is listed, not only what a package manager installed.</w:t>
      </w:r>
    </w:p>
    <w:p>
      <w:pPr>
        <w:pStyle w:val="ListParagraph"/>
        <w:numPr>
          <w:ilvl w:val="0"/>
          <w:numId w:val="1"/>
        </w:numPr>
      </w:pPr>
      <w:r>
        <w:t xml:space="preserve">☐ Container base images and system packages are covered, if you ship a container.</w:t>
      </w:r>
    </w:p>
    <w:p>
      <w:pPr>
        <w:pStyle w:val="Heading1"/>
      </w:pPr>
      <w:r>
        <w:t xml:space="preserve">4. Licenses</w:t>
      </w:r>
    </w:p>
    <w:p>
      <w:pPr>
        <w:pStyle w:val="ListParagraph"/>
        <w:numPr>
          <w:ilvl w:val="0"/>
          <w:numId w:val="1"/>
        </w:numPr>
      </w:pPr>
      <w:r>
        <w:t xml:space="preserve">☐ Every component has a license, using </w:t>
      </w:r>
      <w:r>
        <w:t xml:space="preserve">SPDX license identifiers</w:t>
      </w:r>
      <w:r>
        <w:t xml:space="preserve"> (https://spdx.org/licenses/)</w:t>
      </w:r>
      <w:r>
        <w:t xml:space="preserve">.</w:t>
      </w:r>
    </w:p>
    <w:p>
      <w:pPr>
        <w:pStyle w:val="ListParagraph"/>
        <w:numPr>
          <w:ilvl w:val="0"/>
          <w:numId w:val="1"/>
        </w:numPr>
      </w:pPr>
      <w:r>
        <w:t xml:space="preserve">☐ Components with no license, or "NOASSERTION", are listed and followed up.</w:t>
      </w:r>
    </w:p>
    <w:p>
      <w:pPr>
        <w:pStyle w:val="ListParagraph"/>
        <w:numPr>
          <w:ilvl w:val="0"/>
          <w:numId w:val="1"/>
        </w:numPr>
      </w:pPr>
      <w:r>
        <w:t xml:space="preserve">☐ No component is under a license on the [disallowed license list, e.g. AGPL-3.0 for distributed software].</w:t>
      </w:r>
    </w:p>
    <w:p>
      <w:pPr>
        <w:pStyle w:val="ListParagraph"/>
        <w:numPr>
          <w:ilvl w:val="0"/>
          <w:numId w:val="1"/>
        </w:numPr>
      </w:pPr>
      <w:r>
        <w:t xml:space="preserve">☐ Dual-licensed components record which license you use them under.</w:t>
      </w:r>
    </w:p>
    <w:p>
      <w:pPr>
        <w:pStyle w:val="Heading1"/>
      </w:pPr>
      <w:r>
        <w:t xml:space="preserve">5. Vulnerabilities</w:t>
      </w:r>
    </w:p>
    <w:p>
      <w:pPr>
        <w:pStyle w:val="ListParagraph"/>
        <w:numPr>
          <w:ilvl w:val="0"/>
          <w:numId w:val="1"/>
        </w:numPr>
      </w:pPr>
      <w:r>
        <w:t xml:space="preserve">☐ The components are checked against a vulnerability database, with the date of the check.</w:t>
      </w:r>
    </w:p>
    <w:p>
      <w:pPr>
        <w:pStyle w:val="ListParagraph"/>
        <w:numPr>
          <w:ilvl w:val="0"/>
          <w:numId w:val="1"/>
        </w:numPr>
      </w:pPr>
      <w:r>
        <w:t xml:space="preserve">☐ No known vulnerability of [high] severity or above, or each has a written exception with an owner and an end date.</w:t>
      </w:r>
    </w:p>
    <w:p>
      <w:pPr>
        <w:pStyle w:val="ListParagraph"/>
        <w:numPr>
          <w:ilvl w:val="0"/>
          <w:numId w:val="1"/>
        </w:numPr>
      </w:pPr>
      <w:r>
        <w:t xml:space="preserve">☐ Where a vulnerable component isn't reachable in your use, that is written down, for example as a VEX statement, not just assumed.</w:t>
      </w:r>
    </w:p>
    <w:p>
      <w:pPr>
        <w:pStyle w:val="Heading1"/>
      </w:pPr>
      <w:r>
        <w:t xml:space="preserve">6. What changed</w:t>
      </w:r>
    </w:p>
    <w:p>
      <w:pPr>
        <w:pStyle w:val="ListParagraph"/>
        <w:numPr>
          <w:ilvl w:val="0"/>
          <w:numId w:val="1"/>
        </w:numPr>
      </w:pPr>
      <w:r>
        <w:t xml:space="preserve">☐ Compared with the previous SBOM for this software: components added, removed and changed are listed.</w:t>
      </w:r>
    </w:p>
    <w:p>
      <w:pPr>
        <w:pStyle w:val="ListParagraph"/>
        <w:numPr>
          <w:ilvl w:val="0"/>
          <w:numId w:val="1"/>
        </w:numPr>
      </w:pPr>
      <w:r>
        <w:t xml:space="preserve">☐ Every added component has a reason, such as the pull request that added it.</w:t>
      </w:r>
    </w:p>
    <w:p>
      <w:pPr>
        <w:pStyle w:val="ListParagraph"/>
        <w:numPr>
          <w:ilvl w:val="0"/>
          <w:numId w:val="1"/>
        </w:numPr>
      </w:pPr>
      <w:r>
        <w:t xml:space="preserve">☐ No license changed for an existing component without someone noticing.</w:t>
      </w:r>
    </w:p>
    <w:p>
      <w:pPr>
        <w:pStyle w:val="ListParagraph"/>
        <w:numPr>
          <w:ilvl w:val="0"/>
          <w:numId w:val="1"/>
        </w:numPr>
      </w:pPr>
      <w:r>
        <w:t xml:space="preserve">☐ No version went backwards.</w:t>
      </w:r>
    </w:p>
    <w:p>
      <w:pPr>
        <w:pStyle w:val="ListParagraph"/>
        <w:numPr>
          <w:ilvl w:val="0"/>
          <w:numId w:val="1"/>
        </w:numPr>
      </w:pPr>
      <w:r>
        <w:t xml:space="preserve">☐ New packages with names close to popular ones were checked for typosquatting. This matters more when a coding agent suggested the package.</w:t>
      </w:r>
    </w:p>
    <w:p>
      <w:pPr>
        <w:pStyle w:val="Heading1"/>
      </w:pPr>
      <w:r>
        <w:t xml:space="preserve">7. Distribution and access</w:t>
      </w:r>
    </w:p>
    <w:p>
      <w:pPr>
        <w:pStyle w:val="ListParagraph"/>
        <w:numPr>
          <w:ilvl w:val="0"/>
          <w:numId w:val="1"/>
        </w:numPr>
      </w:pPr>
      <w:r>
        <w:t xml:space="preserve">☐ The SBOM is stored with the release, where the people who need it can find it.</w:t>
      </w:r>
    </w:p>
    <w:p>
      <w:pPr>
        <w:pStyle w:val="ListParagraph"/>
        <w:numPr>
          <w:ilvl w:val="0"/>
          <w:numId w:val="1"/>
        </w:numPr>
      </w:pPr>
      <w:r>
        <w:t xml:space="preserve">☐ Who may see it is decided. An SBOM tells an attacker what you run, too.</w:t>
      </w:r>
    </w:p>
    <w:p>
      <w:pPr>
        <w:pStyle w:val="ListParagraph"/>
        <w:numPr>
          <w:ilvl w:val="0"/>
          <w:numId w:val="1"/>
        </w:numPr>
      </w:pPr>
      <w:r>
        <w:t xml:space="preserve">☐ There is a way to correct it. Mistakes in SBOMs happen, and the NTIA practices expect them to be fixed.</w:t>
      </w:r>
    </w:p>
    <w:p>
      <w:pPr>
        <w:pStyle w:val="Heading1"/>
      </w:pPr>
      <w:r>
        <w:t xml:space="preserve">Result</w:t>
      </w:r>
    </w:p>
    <w:tbl>
      <w:tblPr>
        <w:tblStyle w:val="TableGrid"/>
        <w:tblW w:w="5000" w:type="pct"/>
      </w:tblPr>
      <w:tblGrid>
        <w:gridCol w:w="4819"/>
        <w:gridCol w:w="4819"/>
      </w:tblGrid>
      <w:tr>
        <w:trPr>
          <w:tblHeader/>
        </w:trPr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Outcome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rPr>
                <w:b/>
              </w:rPr>
              <w:t xml:space="preserve">Tick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Accepted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 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Accepted with exceptions (listed below)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 ]</w:t>
            </w:r>
          </w:p>
        </w:tc>
      </w:tr>
      <w:tr>
        <w:tc>
          <w:tcPr>
            <w:tcW w:w="4819" w:type="dxa"/>
          </w:tcPr>
          <w:p>
            <w:pPr>
              <w:pStyle w:val="TableText"/>
            </w:pPr>
            <w:r>
              <w:t xml:space="preserve">Rejected: [reason]</w:t>
            </w:r>
          </w:p>
        </w:tc>
        <w:tc>
          <w:tcPr>
            <w:tcW w:w="4819" w:type="dxa"/>
          </w:tcPr>
          <w:p>
            <w:pPr>
              <w:pStyle w:val="TableText"/>
            </w:pPr>
            <w:r>
              <w:t xml:space="preserve">[ ]</w:t>
            </w:r>
          </w:p>
        </w:tc>
      </w:tr>
    </w:tbl>
    <w:p/>
    <w:p>
      <w:r>
        <w:t xml:space="preserve">Exceptions: [component, reason, owner, end date]</w:t>
      </w:r>
    </w:p>
    <w:p>
      <w:pPr>
        <w:pStyle w:val="Heading1"/>
      </w:pPr>
      <w:r>
        <w:t xml:space="preserve">Sources</w:t>
      </w:r>
    </w:p>
    <w:p>
      <w:pPr>
        <w:pStyle w:val="ListParagraph"/>
        <w:numPr>
          <w:ilvl w:val="0"/>
          <w:numId w:val="1"/>
        </w:numPr>
      </w:pPr>
      <w:r>
        <w:t xml:space="preserve">NTIA, </w:t>
      </w:r>
      <w:r>
        <w:t xml:space="preserve">The Minimum Elements for a Software Bill of Materials</w:t>
      </w:r>
      <w:r>
        <w:t xml:space="preserve"> (https://www.ntia.gov/report/2021/minimum-elements-software-bill-materials-sbom)</w:t>
      </w:r>
      <w:r>
        <w:t xml:space="preserve">, July 2021.</w:t>
      </w:r>
    </w:p>
    <w:p>
      <w:pPr>
        <w:pStyle w:val="ListParagraph"/>
        <w:numPr>
          <w:ilvl w:val="0"/>
          <w:numId w:val="1"/>
        </w:numPr>
      </w:pPr>
      <w:r>
        <w:t xml:space="preserve">CycloneDX specification</w:t>
      </w:r>
      <w:r>
        <w:t xml:space="preserve"> (https://cyclonedx.org/specification/overview/)</w:t>
      </w:r>
      <w:r>
        <w:t xml:space="preserve"> and the </w:t>
      </w:r>
      <w:r>
        <w:t xml:space="preserve">SPDX license list</w:t>
      </w:r>
      <w:r>
        <w:t xml:space="preserve"> (https://spdx.org/licenses/)</w:t>
      </w:r>
      <w:r>
        <w:t xml:space="preserve">.</w:t>
      </w:r>
    </w:p>
    <w:p>
      <w:pPr>
        <w:pStyle w:val="Footer"/>
        <w:spacing w:before="360"/>
      </w:pPr>
      <w:r>
        <w:t xml:space="preserve">From https://aicodeops.dev/templates/sbom-review-checklist · Last updated 2026-10-24 · Licensed CC BY 4.0 (https://creativecommons.org/licenses/by/4.0/)</w:t>
      </w:r>
    </w:p>
    <w:sectPr>
      <w:pgSz w:w="11906" w:h="16838"/>
      <w:pgMar w:top="1134" w:right="1134" w:bottom="1134" w:left="1134" w:header="708" w:footer="708" w:gutter="0"/>
    </w:sectPr>
  </w:body>
</w:document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72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0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cs="Calibri" w:eastAsia="Calibri"/>
        <w:sz w:val="22"/>
        <w:szCs w:val="22"/>
        <w:lang w:val="en-GB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spacing w:after="240"/>
    </w:pPr>
    <w:rPr>
      <w:b/>
      <w:sz w:val="40"/>
      <w:szCs w:val="40"/>
    </w:rPr>
  </w:style>
  <w:style w:type="paragraph" w:styleId="Heading1">
    <w:name w:val="heading 1"/>
    <w:basedOn w:val="Normal"/>
    <w:next w:val="Normal"/>
    <w:qFormat/>
    <w:pPr>
      <w:keepNext/>
      <w:spacing w:before="360" w:after="120"/>
      <w:outlineLvl w:val="0"/>
    </w:pPr>
    <w:rPr>
      <w:b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spacing w:before="240" w:after="80"/>
      <w:outlineLvl w:val="1"/>
    </w:pPr>
    <w:rPr>
      <w:b/>
      <w:sz w:val="26"/>
      <w:szCs w:val="26"/>
    </w:rPr>
  </w:style>
  <w:style w:type="paragraph" w:styleId="Heading3">
    <w:name w:val="heading 3"/>
    <w:basedOn w:val="Normal"/>
    <w:next w:val="Normal"/>
    <w:qFormat/>
    <w:pPr>
      <w:keepNext/>
      <w:spacing w:before="200" w:after="60"/>
      <w:outlineLvl w:val="2"/>
    </w:pPr>
    <w:rPr>
      <w:b/>
      <w:sz w:val="23"/>
      <w:szCs w:val="23"/>
    </w:rPr>
  </w:style>
  <w:style w:type="paragraph" w:styleId="ListParagraph">
    <w:name w:val="List Paragraph"/>
    <w:basedOn w:val="Normal"/>
    <w:qFormat/>
    <w:pPr>
      <w:spacing w:after="60"/>
      <w:ind w:left="720"/>
    </w:pPr>
  </w:style>
  <w:style w:type="paragraph" w:styleId="Quote">
    <w:name w:val="Quote"/>
    <w:basedOn w:val="Normal"/>
    <w:next w:val="Normal"/>
    <w:qFormat/>
    <w:pPr>
      <w:ind w:left="567" w:right="567"/>
    </w:pPr>
    <w:rPr>
      <w:i/>
      <w:color w:val="555555"/>
    </w:rPr>
  </w:style>
  <w:style w:type="paragraph" w:styleId="Code">
    <w:name w:val="Code"/>
    <w:basedOn w:val="Normal"/>
    <w:pPr>
      <w:shd w:val="clear" w:color="auto" w:fill="F3F3F3"/>
      <w:spacing w:after="160" w:line="240" w:lineRule="auto"/>
    </w:pPr>
    <w:rPr>
      <w:rFonts w:ascii="Consolas" w:hAnsi="Consolas" w:cs="Consolas"/>
      <w:sz w:val="18"/>
      <w:szCs w:val="18"/>
    </w:rPr>
  </w:style>
  <w:style w:type="paragraph" w:styleId="TableText">
    <w:name w:val="Table Text"/>
    <w:basedOn w:val="Normal"/>
    <w:pPr>
      <w:spacing w:after="0"/>
    </w:pPr>
    <w:rPr>
      <w:sz w:val="19"/>
      <w:szCs w:val="19"/>
    </w:rPr>
  </w:style>
  <w:style w:type="paragraph" w:styleId="Footer">
    <w:name w:val="footer"/>
    <w:basedOn w:val="Normal"/>
    <w:rPr>
      <w:color w:val="666666"/>
      <w:sz w:val="18"/>
      <w:szCs w:val="18"/>
    </w:rPr>
  </w:style>
  <w:style w:type="table" w:default="1" w:styleId="TableNormal">
    <w:name w:val="Normal Table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0A0A0"/>
        <w:left w:val="single" w:sz="4" w:space="0" w:color="A0A0A0"/>
        <w:bottom w:val="single" w:sz="4" w:space="0" w:color="A0A0A0"/>
        <w:right w:val="single" w:sz="4" w:space="0" w:color="A0A0A0"/>
        <w:insideH w:val="single" w:sz="4" w:space="0" w:color="A0A0A0"/>
        <w:insideV w:val="single" w:sz="4" w:space="0" w:color="A0A0A0"/>
      </w:tblBorders>
      <w:tblCellMar>
        <w:top w:w="40" w:type="dxa"/>
        <w:bottom w:w="4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SBOM review checklist: what to check before you trust one</dc:title>
  <dc:creator>AI CodeOps</dc:creator>
  <dcterms:modified xsi:type="dcterms:W3CDTF">2026-10-24T00:00:00Z</dcterms:modified>
</cp:coreProperties>
</file>